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4A0"/>
      </w:tblPr>
      <w:tblGrid>
        <w:gridCol w:w="3240"/>
        <w:gridCol w:w="5760"/>
      </w:tblGrid>
      <w:tr w:rsidR="00085E32" w:rsidTr="00085E32">
        <w:tc>
          <w:tcPr>
            <w:tcW w:w="3240" w:type="dxa"/>
            <w:hideMark/>
          </w:tcPr>
          <w:p w:rsidR="00085E32" w:rsidRDefault="00085E32">
            <w:pPr>
              <w:pStyle w:val="Heading2"/>
              <w:spacing w:before="0" w:after="0" w:line="240" w:lineRule="auto"/>
              <w:ind w:right="10"/>
              <w:rPr>
                <w:rFonts w:ascii="Arial" w:eastAsiaTheme="minorEastAsia" w:hAnsi="Arial" w:cs="Arial"/>
                <w:bCs/>
                <w:color w:val="000000"/>
                <w:sz w:val="20"/>
                <w:szCs w:val="20"/>
              </w:rPr>
            </w:pPr>
            <w:r>
              <w:rPr>
                <w:rFonts w:ascii="Arial" w:eastAsiaTheme="minorEastAsia" w:hAnsi="Arial" w:cs="Arial"/>
                <w:bCs/>
                <w:color w:val="000000"/>
                <w:sz w:val="20"/>
                <w:szCs w:val="20"/>
              </w:rPr>
              <w:t>HỘI ĐỒNG NHÂN DÂN</w:t>
            </w:r>
          </w:p>
          <w:p w:rsidR="00085E32" w:rsidRDefault="00085E32">
            <w:pPr>
              <w:pStyle w:val="Heading5"/>
              <w:rPr>
                <w:rFonts w:ascii="Arial" w:eastAsiaTheme="minorEastAsia" w:hAnsi="Arial" w:cs="Arial"/>
                <w:color w:val="000000"/>
                <w:sz w:val="20"/>
                <w:szCs w:val="20"/>
              </w:rPr>
            </w:pPr>
            <w:r>
              <w:rPr>
                <w:rFonts w:ascii="Arial" w:eastAsiaTheme="minorEastAsia" w:hAnsi="Arial" w:cs="Arial"/>
                <w:color w:val="000000"/>
                <w:sz w:val="20"/>
                <w:szCs w:val="20"/>
              </w:rPr>
              <w:t>THÀNH PHỐ CẦN THƠ</w:t>
            </w:r>
          </w:p>
        </w:tc>
        <w:tc>
          <w:tcPr>
            <w:tcW w:w="5760" w:type="dxa"/>
            <w:hideMark/>
          </w:tcPr>
          <w:p w:rsidR="00085E32" w:rsidRDefault="00085E32">
            <w:pPr>
              <w:pStyle w:val="Heading6"/>
              <w:spacing w:line="240" w:lineRule="auto"/>
              <w:rPr>
                <w:rFonts w:ascii="Arial" w:eastAsiaTheme="minorEastAsia" w:hAnsi="Arial" w:cs="Arial"/>
                <w:color w:val="000000"/>
                <w:sz w:val="20"/>
              </w:rPr>
            </w:pPr>
            <w:r>
              <w:rPr>
                <w:rFonts w:ascii="Arial" w:eastAsiaTheme="minorEastAsia" w:hAnsi="Arial" w:cs="Arial"/>
                <w:color w:val="000000"/>
                <w:sz w:val="20"/>
              </w:rPr>
              <w:t xml:space="preserve">CỘNG HÒA XÃ HỘI CHỦ NGHĨA VIỆT </w:t>
            </w:r>
            <w:smartTag w:uri="urn:schemas-microsoft-com:office:smarttags" w:element="country-region">
              <w:smartTag w:uri="urn:schemas-microsoft-com:office:smarttags" w:element="place">
                <w:r>
                  <w:rPr>
                    <w:rFonts w:ascii="Arial" w:eastAsiaTheme="minorEastAsia" w:hAnsi="Arial" w:cs="Arial"/>
                    <w:color w:val="000000"/>
                    <w:sz w:val="20"/>
                  </w:rPr>
                  <w:t>NAM</w:t>
                </w:r>
              </w:smartTag>
            </w:smartTag>
          </w:p>
          <w:p w:rsidR="00085E32" w:rsidRDefault="00085E32">
            <w:pPr>
              <w:jc w:val="center"/>
              <w:rPr>
                <w:rFonts w:ascii="Arial" w:hAnsi="Arial" w:cs="Arial"/>
                <w:b/>
                <w:color w:val="000000"/>
                <w:sz w:val="20"/>
                <w:szCs w:val="20"/>
                <w:lang w:val="en-US"/>
              </w:rPr>
            </w:pPr>
            <w:r>
              <w:rPr>
                <w:rFonts w:ascii="Arial" w:hAnsi="Arial" w:cs="Arial"/>
                <w:b/>
                <w:color w:val="000000"/>
                <w:sz w:val="20"/>
                <w:szCs w:val="20"/>
              </w:rPr>
              <w:t>Độc lập - Tự do - Hạnh phúc</w:t>
            </w:r>
          </w:p>
        </w:tc>
      </w:tr>
      <w:tr w:rsidR="00085E32" w:rsidTr="00085E32">
        <w:trPr>
          <w:trHeight w:val="157"/>
        </w:trPr>
        <w:tc>
          <w:tcPr>
            <w:tcW w:w="3240" w:type="dxa"/>
            <w:hideMark/>
          </w:tcPr>
          <w:p w:rsidR="00085E32" w:rsidRPr="00085E32" w:rsidRDefault="00085E32">
            <w:pPr>
              <w:pStyle w:val="Heading2"/>
              <w:spacing w:before="0" w:after="0" w:line="240" w:lineRule="auto"/>
              <w:rPr>
                <w:rFonts w:ascii="Arial" w:eastAsiaTheme="minorEastAsia" w:hAnsi="Arial" w:cs="Arial"/>
                <w:color w:val="000000"/>
                <w:sz w:val="20"/>
                <w:szCs w:val="20"/>
                <w:lang w:val="en-US"/>
              </w:rPr>
            </w:pPr>
            <w:r>
              <w:rPr>
                <w:rFonts w:eastAsiaTheme="minorEastAsia"/>
              </w:rPr>
              <w:pict>
                <v:line id="_x0000_s1028" style="position:absolute;left:0;text-align:left;z-index:251658240;mso-position-horizontal-relative:text;mso-position-vertical-relative:text" from="64.35pt,1.45pt" to="91.1pt,1.45pt"/>
              </w:pict>
            </w:r>
          </w:p>
        </w:tc>
        <w:tc>
          <w:tcPr>
            <w:tcW w:w="5760" w:type="dxa"/>
            <w:hideMark/>
          </w:tcPr>
          <w:p w:rsidR="00085E32" w:rsidRDefault="00085E32">
            <w:pPr>
              <w:jc w:val="center"/>
              <w:rPr>
                <w:rFonts w:ascii="Arial" w:hAnsi="Arial" w:cs="Arial"/>
                <w:color w:val="000000"/>
                <w:sz w:val="20"/>
                <w:szCs w:val="20"/>
                <w:lang w:val="en-US"/>
              </w:rPr>
            </w:pPr>
            <w:r>
              <w:rPr>
                <w:rFonts w:eastAsia="Times New Roman" w:cs="Times New Roman"/>
                <w:sz w:val="24"/>
                <w:szCs w:val="24"/>
                <w:lang w:val="en-US"/>
              </w:rPr>
              <w:pict>
                <v:line id="_x0000_s1027" style="position:absolute;left:0;text-align:left;z-index:251658240;mso-position-horizontal-relative:text;mso-position-vertical-relative:text" from="69.5pt,2.2pt" to="202.1pt,2.2pt"/>
              </w:pict>
            </w:r>
          </w:p>
        </w:tc>
      </w:tr>
      <w:tr w:rsidR="00085E32" w:rsidTr="00085E32">
        <w:tc>
          <w:tcPr>
            <w:tcW w:w="3240" w:type="dxa"/>
            <w:hideMark/>
          </w:tcPr>
          <w:p w:rsidR="00085E32" w:rsidRDefault="00085E32">
            <w:pPr>
              <w:jc w:val="center"/>
              <w:rPr>
                <w:rFonts w:ascii="Arial" w:hAnsi="Arial" w:cs="Arial"/>
                <w:noProof/>
                <w:color w:val="000000"/>
                <w:sz w:val="20"/>
                <w:szCs w:val="20"/>
                <w:lang w:val="en-US"/>
              </w:rPr>
            </w:pPr>
            <w:r>
              <w:rPr>
                <w:rFonts w:ascii="Arial" w:hAnsi="Arial" w:cs="Arial"/>
                <w:noProof/>
                <w:color w:val="000000"/>
                <w:sz w:val="20"/>
                <w:szCs w:val="20"/>
              </w:rPr>
              <w:t xml:space="preserve">Số:  </w:t>
            </w:r>
            <w:r>
              <w:rPr>
                <w:rFonts w:ascii="Arial" w:hAnsi="Arial" w:cs="Arial"/>
                <w:bCs/>
                <w:noProof/>
                <w:color w:val="000000"/>
                <w:sz w:val="20"/>
                <w:szCs w:val="20"/>
              </w:rPr>
              <w:t>79</w:t>
            </w:r>
            <w:r>
              <w:rPr>
                <w:rFonts w:ascii="Arial" w:hAnsi="Arial" w:cs="Arial"/>
                <w:noProof/>
                <w:color w:val="000000"/>
                <w:sz w:val="20"/>
                <w:szCs w:val="20"/>
              </w:rPr>
              <w:t>/2006/NQ-HĐND</w:t>
            </w:r>
          </w:p>
        </w:tc>
        <w:tc>
          <w:tcPr>
            <w:tcW w:w="5760" w:type="dxa"/>
            <w:hideMark/>
          </w:tcPr>
          <w:p w:rsidR="00085E32" w:rsidRPr="00085E32" w:rsidRDefault="00085E32">
            <w:pPr>
              <w:pStyle w:val="Heading1"/>
              <w:spacing w:before="0" w:after="0"/>
              <w:rPr>
                <w:rFonts w:ascii="Arial" w:eastAsiaTheme="minorEastAsia" w:hAnsi="Arial" w:cs="Arial"/>
                <w:b w:val="0"/>
                <w:bCs w:val="0"/>
                <w:i/>
                <w:iCs/>
                <w:color w:val="000000"/>
                <w:sz w:val="20"/>
                <w:szCs w:val="20"/>
                <w:lang w:val="en-US"/>
              </w:rPr>
            </w:pPr>
            <w:r w:rsidRPr="00085E32">
              <w:rPr>
                <w:rFonts w:ascii="Arial" w:eastAsiaTheme="minorEastAsia" w:hAnsi="Arial" w:cs="Arial"/>
                <w:b w:val="0"/>
                <w:bCs w:val="0"/>
                <w:i/>
                <w:iCs/>
                <w:color w:val="000000"/>
                <w:sz w:val="20"/>
                <w:szCs w:val="20"/>
                <w:lang w:val="en-US"/>
              </w:rPr>
              <w:t>Cần Thơ, ngày 13 tháng 12 năm 2006</w:t>
            </w:r>
          </w:p>
        </w:tc>
      </w:tr>
    </w:tbl>
    <w:p w:rsidR="00085E32" w:rsidRDefault="00085E32" w:rsidP="00085E32">
      <w:pPr>
        <w:jc w:val="center"/>
        <w:rPr>
          <w:rFonts w:ascii="Arial" w:hAnsi="Arial" w:cs="Arial"/>
          <w:b/>
          <w:color w:val="000000"/>
          <w:sz w:val="20"/>
          <w:szCs w:val="20"/>
          <w:lang w:val="en-US"/>
        </w:rPr>
      </w:pPr>
    </w:p>
    <w:p w:rsidR="00085E32" w:rsidRDefault="00085E32" w:rsidP="00085E32">
      <w:pPr>
        <w:jc w:val="center"/>
        <w:rPr>
          <w:rFonts w:ascii="Arial" w:hAnsi="Arial" w:cs="Arial"/>
          <w:b/>
          <w:color w:val="000000"/>
          <w:sz w:val="20"/>
          <w:szCs w:val="20"/>
        </w:rPr>
      </w:pPr>
      <w:r>
        <w:rPr>
          <w:rFonts w:ascii="Arial" w:hAnsi="Arial" w:cs="Arial"/>
          <w:b/>
          <w:color w:val="000000"/>
          <w:sz w:val="20"/>
          <w:szCs w:val="20"/>
        </w:rPr>
        <w:t>NGHỊ QUYẾT</w:t>
      </w:r>
    </w:p>
    <w:p w:rsidR="00085E32" w:rsidRDefault="00085E32" w:rsidP="00085E32">
      <w:pPr>
        <w:jc w:val="center"/>
        <w:rPr>
          <w:rFonts w:ascii="Arial" w:hAnsi="Arial" w:cs="Arial"/>
          <w:b/>
          <w:color w:val="000000"/>
          <w:sz w:val="20"/>
          <w:szCs w:val="20"/>
        </w:rPr>
      </w:pPr>
      <w:r>
        <w:rPr>
          <w:rFonts w:ascii="Arial" w:hAnsi="Arial" w:cs="Arial"/>
          <w:b/>
          <w:color w:val="000000"/>
          <w:sz w:val="20"/>
          <w:szCs w:val="20"/>
        </w:rPr>
        <w:t>Về các biện pháp chủ yếu phòng, chống tham nhũng của thành phố Cần Thơ</w:t>
      </w:r>
    </w:p>
    <w:p w:rsidR="00085E32" w:rsidRDefault="00085E32" w:rsidP="00085E32">
      <w:pPr>
        <w:jc w:val="center"/>
        <w:rPr>
          <w:rFonts w:ascii="Arial" w:hAnsi="Arial" w:cs="Arial"/>
          <w:b/>
          <w:color w:val="000000"/>
          <w:sz w:val="20"/>
          <w:szCs w:val="20"/>
        </w:rPr>
      </w:pPr>
      <w:r>
        <w:rPr>
          <w:rFonts w:ascii="Arial" w:hAnsi="Arial" w:cs="Arial"/>
          <w:b/>
          <w:color w:val="000000"/>
          <w:sz w:val="20"/>
          <w:szCs w:val="20"/>
        </w:rPr>
        <w:t xml:space="preserve"> năm 2007 và những năm tiếp theo</w:t>
      </w:r>
    </w:p>
    <w:p w:rsidR="00085E32" w:rsidRDefault="00085E32" w:rsidP="00085E32">
      <w:pPr>
        <w:jc w:val="center"/>
        <w:rPr>
          <w:rFonts w:ascii="Arial" w:hAnsi="Arial" w:cs="Arial"/>
          <w:b/>
          <w:bCs/>
          <w:color w:val="000000"/>
          <w:sz w:val="20"/>
          <w:szCs w:val="20"/>
        </w:rPr>
      </w:pPr>
      <w:r>
        <w:rPr>
          <w:rFonts w:cs="Times New Roman"/>
          <w:sz w:val="24"/>
          <w:szCs w:val="24"/>
          <w:lang w:val="en-US"/>
        </w:rPr>
        <w:pict>
          <v:line id="_x0000_s1026" style="position:absolute;left:0;text-align:left;z-index:251658240" from="189pt,2.5pt" to="264.5pt,2.5pt"/>
        </w:pict>
      </w:r>
    </w:p>
    <w:p w:rsidR="00085E32" w:rsidRDefault="00085E32" w:rsidP="00085E32">
      <w:pPr>
        <w:jc w:val="center"/>
        <w:rPr>
          <w:rFonts w:ascii="Arial" w:hAnsi="Arial" w:cs="Arial"/>
          <w:b/>
          <w:bCs/>
          <w:color w:val="000000"/>
          <w:sz w:val="20"/>
          <w:szCs w:val="20"/>
        </w:rPr>
      </w:pPr>
      <w:r>
        <w:rPr>
          <w:rFonts w:ascii="Arial" w:hAnsi="Arial" w:cs="Arial"/>
          <w:b/>
          <w:bCs/>
          <w:color w:val="000000"/>
          <w:sz w:val="20"/>
          <w:szCs w:val="20"/>
        </w:rPr>
        <w:t>HỘI ĐỒNG NHÂN DÂN THÀNH PHỐ CẦN THƠ</w:t>
      </w:r>
    </w:p>
    <w:p w:rsidR="00085E32" w:rsidRDefault="00085E32" w:rsidP="00085E32">
      <w:pPr>
        <w:jc w:val="center"/>
        <w:rPr>
          <w:rFonts w:ascii="Arial" w:hAnsi="Arial" w:cs="Arial"/>
          <w:b/>
          <w:color w:val="000000"/>
          <w:sz w:val="20"/>
          <w:szCs w:val="20"/>
        </w:rPr>
      </w:pPr>
      <w:r>
        <w:rPr>
          <w:rFonts w:ascii="Arial" w:hAnsi="Arial" w:cs="Arial"/>
          <w:b/>
          <w:bCs/>
          <w:color w:val="000000"/>
          <w:sz w:val="20"/>
          <w:szCs w:val="20"/>
        </w:rPr>
        <w:t>KHÓA VII - KỲ HỌP THỨ CHÍN</w:t>
      </w:r>
    </w:p>
    <w:p w:rsidR="00085E32" w:rsidRDefault="00085E32" w:rsidP="00085E32">
      <w:pPr>
        <w:jc w:val="center"/>
        <w:rPr>
          <w:rFonts w:ascii="Arial" w:hAnsi="Arial" w:cs="Arial"/>
          <w:color w:val="000000"/>
          <w:sz w:val="20"/>
          <w:szCs w:val="20"/>
        </w:rPr>
      </w:pP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Căn cứ Luật Tổ chức Hội đồng nhân dân và Ủy ban nhân dân ngày 26 tháng 11 năm 2003;</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Căn cứ Luật ban hành văn bản quy phạm pháp luật của Hội đồng nhân dân, Ủy ban nhân dân ngày 03 tháng 12 năm 2004;</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ab/>
        <w:t>Căn cứ Luật Phòng, chống tham nhũng ngày 29 tháng 11 năm 2005;</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ab/>
        <w:t>Căn cứ Nghị định số 120/2006/NĐ-CP ngày 20 tháng 10 năm 2006 của Chính phủ quy định chi tiết và hướng dẫn thi hành một số điều của Luật Phòng, chống tham nhũng;</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ab/>
        <w:t>Căn cứ Quyết định số 30/2006/QĐ-TTg ngày 06 tháng 02 năm 2006 của Thủ tướng Chính phủ về việc ban hành chương trình hành động của Chính phủ thực hiện Luật Phòng, chống tham nhũng;</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ab/>
        <w:t>Theo Tờ trình số 60/TTr-UBND ngày 24 tháng 11 năm 2006 của Ủy ban nhân dân thành phố Cần Thơ về việc ban hành Nghị quyết về công tác phòng, chống tham nhũng năm 2007 và những năm tiếp theo;</w:t>
      </w:r>
    </w:p>
    <w:p w:rsidR="00085E32" w:rsidRDefault="00085E32" w:rsidP="00085E32">
      <w:pPr>
        <w:ind w:firstLine="567"/>
        <w:jc w:val="both"/>
        <w:rPr>
          <w:rFonts w:ascii="Arial" w:hAnsi="Arial" w:cs="Arial"/>
          <w:color w:val="000000"/>
          <w:sz w:val="20"/>
          <w:szCs w:val="20"/>
        </w:rPr>
      </w:pPr>
      <w:r>
        <w:rPr>
          <w:rFonts w:ascii="Arial" w:hAnsi="Arial" w:cs="Arial"/>
          <w:color w:val="000000"/>
          <w:sz w:val="20"/>
          <w:szCs w:val="20"/>
        </w:rPr>
        <w:t>Sau khi nghe Báo cáo thẩm tra của Ban pháp chế và ý kiến thảo luận của các đại biểu Hội đồng nhân dân,</w:t>
      </w:r>
    </w:p>
    <w:p w:rsidR="00085E32" w:rsidRDefault="00085E32" w:rsidP="00085E32">
      <w:pPr>
        <w:jc w:val="center"/>
        <w:rPr>
          <w:rFonts w:ascii="Arial" w:hAnsi="Arial" w:cs="Arial"/>
          <w:color w:val="000000"/>
          <w:sz w:val="20"/>
          <w:szCs w:val="20"/>
        </w:rPr>
      </w:pPr>
    </w:p>
    <w:p w:rsidR="00085E32" w:rsidRDefault="00085E32" w:rsidP="00085E32">
      <w:pPr>
        <w:spacing w:before="120" w:after="120"/>
        <w:jc w:val="center"/>
        <w:rPr>
          <w:rFonts w:ascii="Arial" w:hAnsi="Arial" w:cs="Arial"/>
          <w:color w:val="000000"/>
          <w:sz w:val="20"/>
          <w:szCs w:val="20"/>
        </w:rPr>
      </w:pPr>
      <w:r>
        <w:rPr>
          <w:rFonts w:ascii="Arial" w:hAnsi="Arial" w:cs="Arial"/>
          <w:b/>
          <w:color w:val="000000"/>
          <w:sz w:val="20"/>
          <w:szCs w:val="20"/>
        </w:rPr>
        <w:t>QUYẾT NGHỊ:</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ab/>
      </w:r>
      <w:r>
        <w:rPr>
          <w:rFonts w:ascii="Arial" w:hAnsi="Arial" w:cs="Arial"/>
          <w:b/>
          <w:color w:val="000000"/>
          <w:sz w:val="20"/>
          <w:szCs w:val="20"/>
        </w:rPr>
        <w:t>Điều 1.</w:t>
      </w:r>
      <w:r>
        <w:rPr>
          <w:rFonts w:ascii="Arial" w:hAnsi="Arial" w:cs="Arial"/>
          <w:color w:val="000000"/>
          <w:sz w:val="20"/>
          <w:szCs w:val="20"/>
        </w:rPr>
        <w:t xml:space="preserve"> Hội đồng nhân dân thành phố nhất trí thông qua các biện pháp chủ yếu phòng, chống tham nhũng năm 2007 và những năm tiếp theo của thành phố với các biện pháp chủ yếu như sau:</w:t>
      </w:r>
    </w:p>
    <w:p w:rsidR="00085E32" w:rsidRDefault="00085E32" w:rsidP="00085E32">
      <w:pPr>
        <w:spacing w:before="120" w:after="120"/>
        <w:ind w:firstLine="567"/>
        <w:jc w:val="both"/>
        <w:rPr>
          <w:rFonts w:ascii="Arial" w:hAnsi="Arial" w:cs="Arial"/>
          <w:b/>
          <w:color w:val="000000"/>
          <w:sz w:val="20"/>
          <w:szCs w:val="20"/>
        </w:rPr>
      </w:pPr>
      <w:r>
        <w:rPr>
          <w:rFonts w:ascii="Arial" w:hAnsi="Arial" w:cs="Arial"/>
          <w:b/>
          <w:color w:val="000000"/>
          <w:sz w:val="20"/>
          <w:szCs w:val="20"/>
        </w:rPr>
        <w:t>1. Về công tác tuyên truyền:</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xml:space="preserve">- Quán triệt, tuyên truyền sâu rộng trong hệ thống chính trị và nhân dân về Luật Phòng, chống tham nhũng; Nghị định số 120/2006/NĐ-CP ngày 20 tháng 10 năm 2006 của Chính phủ quy định chi tiết và hướng dẫn thi hành một số điều của Luật Phòng, chống tham nhũng; Quyết định của Thủ tướng Chính phủ về việc ban hành chương trình hành động của Chính phủ thực hiện Luật Phòng, chống tham nhũng; Quyết định của Ủy ban nhân dân thành phố về việc ban hành chương trình hành động của Ủy ban nhân dân thành phố thực hiện Luật Phòng, chống tham nhũng, nhằm phát huy sức mạnh tổng hợp để tiến hành đấu tranh phòng, chống tham nhũng kiên quyết, liên tục và có hiệu quả. </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Phát huy vai trò Mặt trận Tổ quốc và các đoàn thể; phối hợp với các cơ quan báo, đài đẩy mạnh công tác tuyên truyền, phổ biến, giáo dục pháp luật về phòng, chống tham nhũng trên các phương tiện thông tin đại chúng bằng nhiều hình thức đa dạng, thích hợp. Trên tinh thần phòng là chính và phải kiên quyết xử lý các hành vi vi phạm tham nhũng; kịp thời bảo vệ, nêu gương “người tốt, việc tốt”, biểu dương những điển hình tiên tiến, gương mẫu, tích cực trong việc thực hiện công tác phòng, chống tham nhũng; lên án, phê phán, phản ánh các cơ quan, đơn vị, tổ chức, cá nhân có hành vi tiêu cực, tham nhũng một cách kịp thời để các cơ quan chức năng giải quyết.</w:t>
      </w:r>
    </w:p>
    <w:p w:rsidR="00085E32" w:rsidRDefault="00085E32" w:rsidP="00085E32">
      <w:pPr>
        <w:spacing w:before="120" w:after="120"/>
        <w:ind w:firstLine="567"/>
        <w:jc w:val="both"/>
        <w:rPr>
          <w:rFonts w:ascii="Arial" w:hAnsi="Arial" w:cs="Arial"/>
          <w:b/>
          <w:color w:val="000000"/>
          <w:sz w:val="20"/>
          <w:szCs w:val="20"/>
        </w:rPr>
      </w:pPr>
      <w:r>
        <w:rPr>
          <w:rFonts w:ascii="Arial" w:hAnsi="Arial" w:cs="Arial"/>
          <w:b/>
          <w:color w:val="000000"/>
          <w:sz w:val="20"/>
          <w:szCs w:val="20"/>
        </w:rPr>
        <w:t xml:space="preserve">2. Về một số lĩnh vực chủ yếu cần tập trung: </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xml:space="preserve">Các lĩnh vực chủ yếu cần tập trung trong công tác phòng, chống tham nhũng, như sau: </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Đầu tư xây dựng cơ bản;</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xml:space="preserve">- Quản lý, sử dụng nhà công, đất công; </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Thu, chi; cấp phát, phân bổ và sử dụng vốn ngân sách; phí, lệ phí;</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Quản lý, sử dụng nguồn tiền, tài sản vận động đóng góp;</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Mua sắm trang thiết bị; quản lý, sử dụng tài sản công;</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Cổ phần hóa doanh nghiệp Nhà nước;</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lastRenderedPageBreak/>
        <w:t xml:space="preserve">- Giao đất, cho thuê đất thực hiện các dự án, công trình; </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xml:space="preserve">- Cấp các loại giấy chứng nhận, giấy phép; thi cử, cấp bằng, chứng chỉ; </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Giải tỏa, bồi hoàn, tái định cư để thực hiện các dự án, công trình;</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Kiểm tra, làm thủ tục hàng hóa xuất nhập khẩu, xuất nhập cảnh, xử phạt vi phạm hành chính, thu thuế, đấu giá và sao y, chứng thực;</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Thanh tra công vụ.</w:t>
      </w:r>
    </w:p>
    <w:p w:rsidR="00085E32" w:rsidRDefault="00085E32" w:rsidP="00085E32">
      <w:pPr>
        <w:spacing w:before="120" w:after="120"/>
        <w:ind w:firstLine="567"/>
        <w:jc w:val="both"/>
        <w:rPr>
          <w:rFonts w:ascii="Arial" w:hAnsi="Arial" w:cs="Arial"/>
          <w:color w:val="000000"/>
          <w:sz w:val="20"/>
          <w:szCs w:val="20"/>
        </w:rPr>
      </w:pPr>
      <w:r>
        <w:rPr>
          <w:rFonts w:ascii="Arial" w:hAnsi="Arial" w:cs="Arial"/>
          <w:b/>
          <w:color w:val="000000"/>
          <w:sz w:val="20"/>
          <w:szCs w:val="20"/>
        </w:rPr>
        <w:t>3. Về công tác rà soát, xây dựng các văn bản:</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Tập trung rà soát để sửa đổi, bổ sung, hủy bỏ các văn bản quy phạm pháp luật, nội quy, quy chế, các tiêu chuẩn, định mức, quy tắc ứng xử, chuẩn mực nghề nghiệp không còn phù hợp; cần thiết thì ban hành mới cho phù hợp hơn.</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Ủy ban nhân dân các cấp và các cơ quan chuyên môn phải xây dựng chương trình, kế hoạch phòng, chống tham nhũng; đồng thời xây dựng quy chế phối hợp với Mặt trận Tổ quốc và các tổ chức thành viên trong công tác tuyên truyền, thực thi công tác phòng, chống tham nhũng; quy chế khen thưởng, bảo vệ người có công trong công tác đấu tranh phòng, chống tham nhũng và tổ chức tuyên truyền, quán triệt đến cán bộ, công chức, viên chức trong cơ quan, đơn vị và nhân dân trong địa phương.</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Nghiên cứu hoàn chỉnh quy trình quy hoạch, bổ nhiệm, luân chuyển, chuyển đổi cán bộ, công chức.</w:t>
      </w:r>
    </w:p>
    <w:p w:rsidR="00085E32" w:rsidRDefault="00085E32" w:rsidP="00085E32">
      <w:pPr>
        <w:spacing w:before="120" w:after="120"/>
        <w:ind w:firstLine="567"/>
        <w:jc w:val="both"/>
        <w:rPr>
          <w:rFonts w:ascii="Arial" w:hAnsi="Arial" w:cs="Arial"/>
          <w:color w:val="000000"/>
          <w:sz w:val="20"/>
          <w:szCs w:val="20"/>
        </w:rPr>
      </w:pPr>
      <w:r>
        <w:rPr>
          <w:rFonts w:ascii="Arial" w:hAnsi="Arial" w:cs="Arial"/>
          <w:b/>
          <w:color w:val="000000"/>
          <w:sz w:val="20"/>
          <w:szCs w:val="20"/>
        </w:rPr>
        <w:t>4. Về tăng cường, nâng cao hoạt động thanh tra, kiểm tra, điều tra xử lý các vụ việc tiêu cực, tham nhũng:</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Tăng cường, củng cố, thành lập Ban Chỉ đạo về phòng, chống tham nhũng theo quy định của cấp trên, chọn lựa những người có đủ phẩm chất đạo đức, năng lực, tăng cường cơ sở vật chất, phương tiện kỹ thuật đảm bảo cho hoạt động của các tổ chức phòng, chống tham nhũng.</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Kiện toàn tổ chức của các cơ quan bảo vệ pháp luật như: Thanh tra, Công an các cấp, đặc biệt phải làm trong sạch nội bộ, kiên quyết thay thế những cán bộ không đủ phẩm chất, năng lực và bổ sung cán bộ đủ tiêu chuẩn trực tiếp làm công tác phòng, chống tham nhũng. Kiên quyết đấu tranh chống các hiện tượng nể nang, né tránh, bao che khi đã phát hiện tiêu cực, tham nhũng.</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Tăng cường và nâng cao công tác thanh tra, kiểm tra cán bộ, công chức thực thi nhiệm vụ; tập trung giải quyết dứt điểm những vụ việc tố cáo hành vi tiêu cực, tham nhũng còn tồn đọng và mới phát sinh.</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Xây dựng quy chế phối hợp, kết hợp công tác giữa các ngành bảo vệ pháp luật và các ngành, đơn vị hữu quan, nhất là giữa thanh tra, công an, kiểm sát, tòa án, kiểm toán, kiểm tra Đảng trong công tác phòng, chống tham nhũng.</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Kiên quyết xử lý các vụ tiêu cực, tham nhũng đã phát hiện, có kiến nghị, kết luận; đẩy nhanh tiến độ kiểm tra, thanh tra, điều tra các vụ việc mới phát hiện để sớm có kết luận, kiến nghị để đưa ra xử lý, nhằm củng cố lòng tin của nhân dân vào sự lãnh đạo của Đảng, sự quản lý điều hành của chính quyền.</w:t>
      </w:r>
    </w:p>
    <w:p w:rsidR="00085E32" w:rsidRDefault="00085E32" w:rsidP="00085E32">
      <w:pPr>
        <w:spacing w:before="120" w:after="120"/>
        <w:ind w:firstLine="567"/>
        <w:jc w:val="both"/>
        <w:rPr>
          <w:rFonts w:ascii="Arial" w:hAnsi="Arial" w:cs="Arial"/>
          <w:b/>
          <w:color w:val="000000"/>
          <w:sz w:val="20"/>
          <w:szCs w:val="20"/>
        </w:rPr>
      </w:pPr>
      <w:r>
        <w:rPr>
          <w:rFonts w:ascii="Arial" w:hAnsi="Arial" w:cs="Arial"/>
          <w:b/>
          <w:color w:val="000000"/>
          <w:sz w:val="20"/>
          <w:szCs w:val="20"/>
        </w:rPr>
        <w:t xml:space="preserve">5. Về công tác phối hợp chặt chẽ với Mặt trận Tổ quốc và các tổ chức thành viên; các cơ quan báo, đài trên địa bàn thành phố; phát huy vai trò của quần chúng nhân dân trong việc thực thi Luật Phòng, chống tham nhũng: </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xml:space="preserve">- Các sở, ban, ngành, địa phương, tổ chức, đơn vị có trách nhiệm phối hợp với Mặt trận Tổ quốc và các tổ chức thành viên trong quá trình tuyên truyền, xây dựng và ban hành các văn bản thực hiện phòng, chống tham nhũng. Giải quyết đúng qui định khi nhận được các yêu cầu, đề nghị của Mặt trận Tổ quốc và các tổ chức thành viên, các cơ quan báo, đài về nội dung liên quan đến tham nhũng trong cơ quan, đơn vị, tổ chức do mình quản lý, phụ trách. </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Tăng cường và nâng cao công tác kiểm tra việc thực hiện Quy chế dân chủ ở cơ sở, cơ quan, doanh nghiệp. Thực hiện tốt công tác công khai, minh bạch trong hoạt động của cơ quan, tổ chức, đơn vị do mình quản lý, phụ trách; làm tốt công tác kê khai tài sản, thu nhập theo quy định. Tạo điều kiện, nâng cao hiệu quả, chất lượng hoạt động của Ban thanh tra nhân dân.</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 Thực hiện nghiêm chế độ thông tin, báo cáo, lưu trữ; sơ kết, tổng kết việc thực hiện, phối hợp thực hiện công tác phòng, chống tham nhũng đầy đủ, kịp thời.</w:t>
      </w:r>
    </w:p>
    <w:p w:rsidR="00085E32" w:rsidRDefault="00085E32" w:rsidP="00085E32">
      <w:pPr>
        <w:jc w:val="both"/>
        <w:rPr>
          <w:rFonts w:ascii="Arial" w:hAnsi="Arial" w:cs="Arial"/>
          <w:color w:val="000000"/>
          <w:sz w:val="20"/>
          <w:szCs w:val="20"/>
        </w:rPr>
      </w:pPr>
    </w:p>
    <w:p w:rsidR="00085E32" w:rsidRDefault="00085E32" w:rsidP="00085E32">
      <w:pPr>
        <w:spacing w:before="120" w:after="120"/>
        <w:ind w:firstLine="567"/>
        <w:jc w:val="both"/>
        <w:rPr>
          <w:rFonts w:ascii="Arial" w:hAnsi="Arial" w:cs="Arial"/>
          <w:color w:val="000000"/>
          <w:sz w:val="20"/>
          <w:szCs w:val="20"/>
        </w:rPr>
      </w:pPr>
      <w:r>
        <w:rPr>
          <w:rFonts w:ascii="Arial" w:hAnsi="Arial" w:cs="Arial"/>
          <w:b/>
          <w:color w:val="000000"/>
          <w:sz w:val="20"/>
          <w:szCs w:val="20"/>
        </w:rPr>
        <w:lastRenderedPageBreak/>
        <w:t>Điều 2.</w:t>
      </w:r>
      <w:r>
        <w:rPr>
          <w:rFonts w:ascii="Arial" w:hAnsi="Arial" w:cs="Arial"/>
          <w:color w:val="000000"/>
          <w:sz w:val="20"/>
          <w:szCs w:val="20"/>
        </w:rPr>
        <w:t xml:space="preserve"> Giao Ủy ban nhân dân thành phố tổ chức thực hiện Nghị quyết này theo chức năng, nhiệm vụ, quyền hạn được pháp luật quy định.</w:t>
      </w:r>
    </w:p>
    <w:p w:rsidR="00085E32" w:rsidRDefault="00085E32" w:rsidP="00085E32">
      <w:pPr>
        <w:spacing w:before="120" w:after="120"/>
        <w:ind w:firstLine="567"/>
        <w:jc w:val="both"/>
        <w:rPr>
          <w:rFonts w:ascii="Arial" w:hAnsi="Arial" w:cs="Arial"/>
          <w:color w:val="000000"/>
          <w:sz w:val="20"/>
          <w:szCs w:val="20"/>
        </w:rPr>
      </w:pPr>
      <w:r>
        <w:rPr>
          <w:rFonts w:ascii="Arial" w:hAnsi="Arial" w:cs="Arial"/>
          <w:color w:val="000000"/>
          <w:sz w:val="20"/>
          <w:szCs w:val="20"/>
        </w:rPr>
        <w:t>Giao Thường trực Hội đồng nhân dân, các Ban của Hội đồng nhân dân và đại biểu Hội đồng nhân dân thành phố tăng cường kiểm tra, giám sát việc thực hiện Nghị quyết này.</w:t>
      </w:r>
    </w:p>
    <w:p w:rsidR="00085E32" w:rsidRPr="00085E32" w:rsidRDefault="00085E32" w:rsidP="00085E32">
      <w:pPr>
        <w:spacing w:before="120" w:after="120"/>
        <w:ind w:right="23" w:firstLine="567"/>
        <w:jc w:val="both"/>
        <w:rPr>
          <w:rFonts w:ascii="Arial" w:hAnsi="Arial" w:cs="Arial"/>
          <w:color w:val="000000"/>
          <w:sz w:val="20"/>
          <w:szCs w:val="20"/>
        </w:rPr>
      </w:pPr>
      <w:r>
        <w:rPr>
          <w:rFonts w:ascii="Arial" w:hAnsi="Arial" w:cs="Arial"/>
          <w:color w:val="000000"/>
          <w:sz w:val="20"/>
          <w:szCs w:val="20"/>
        </w:rPr>
        <w:tab/>
      </w:r>
      <w:r>
        <w:rPr>
          <w:rFonts w:ascii="Arial" w:hAnsi="Arial" w:cs="Arial"/>
          <w:b/>
          <w:color w:val="000000"/>
          <w:sz w:val="20"/>
          <w:szCs w:val="20"/>
        </w:rPr>
        <w:t>Điều 3.</w:t>
      </w:r>
      <w:r>
        <w:rPr>
          <w:rFonts w:ascii="Arial" w:hAnsi="Arial" w:cs="Arial"/>
          <w:color w:val="000000"/>
          <w:sz w:val="20"/>
          <w:szCs w:val="20"/>
        </w:rPr>
        <w:t xml:space="preserve"> </w:t>
      </w:r>
      <w:r w:rsidRPr="00085E32">
        <w:rPr>
          <w:rFonts w:ascii="Arial" w:hAnsi="Arial" w:cs="Arial"/>
          <w:color w:val="000000"/>
          <w:sz w:val="20"/>
          <w:szCs w:val="20"/>
        </w:rPr>
        <w:t>Nghị quyết này có hiệu lực sau 10 ngày, kể từ ngày Hội đồng nhân dân thành phố Cần Thơ khóa VII, kỳ họp thứ chín thông qua và được phổ biến trên các phương tiện thông tin đại chúng theo quy định của pháp luật./.</w:t>
      </w:r>
    </w:p>
    <w:p w:rsidR="00085E32" w:rsidRPr="00085E32" w:rsidRDefault="00085E32" w:rsidP="00085E32">
      <w:pPr>
        <w:ind w:right="23"/>
        <w:jc w:val="both"/>
        <w:rPr>
          <w:rFonts w:ascii="Arial" w:hAnsi="Arial" w:cs="Arial"/>
          <w:color w:val="000000"/>
          <w:sz w:val="20"/>
          <w:szCs w:val="20"/>
        </w:rPr>
      </w:pPr>
    </w:p>
    <w:tbl>
      <w:tblPr>
        <w:tblW w:w="0" w:type="auto"/>
        <w:tblLook w:val="04A0"/>
      </w:tblPr>
      <w:tblGrid>
        <w:gridCol w:w="4248"/>
        <w:gridCol w:w="4805"/>
      </w:tblGrid>
      <w:tr w:rsidR="00085E32" w:rsidTr="00085E32">
        <w:trPr>
          <w:trHeight w:val="297"/>
        </w:trPr>
        <w:tc>
          <w:tcPr>
            <w:tcW w:w="4248" w:type="dxa"/>
            <w:hideMark/>
          </w:tcPr>
          <w:p w:rsidR="00085E32" w:rsidRDefault="00085E32">
            <w:pPr>
              <w:ind w:right="-99"/>
              <w:jc w:val="both"/>
              <w:rPr>
                <w:rFonts w:ascii="Arial" w:hAnsi="Arial" w:cs="Arial"/>
                <w:color w:val="000000"/>
                <w:sz w:val="20"/>
                <w:szCs w:val="20"/>
                <w:lang w:val="fr-FR"/>
              </w:rPr>
            </w:pPr>
            <w:r>
              <w:rPr>
                <w:rFonts w:ascii="Arial" w:hAnsi="Arial" w:cs="Arial"/>
                <w:b/>
                <w:i/>
                <w:color w:val="000000"/>
                <w:sz w:val="20"/>
                <w:szCs w:val="20"/>
                <w:lang w:val="fr-FR"/>
              </w:rPr>
              <w:t>Nơi nhận:</w:t>
            </w:r>
          </w:p>
        </w:tc>
        <w:tc>
          <w:tcPr>
            <w:tcW w:w="4805" w:type="dxa"/>
            <w:hideMark/>
          </w:tcPr>
          <w:p w:rsidR="00085E32" w:rsidRDefault="00085E32">
            <w:pPr>
              <w:pStyle w:val="Heading2"/>
              <w:spacing w:before="0" w:after="0" w:line="240" w:lineRule="auto"/>
              <w:rPr>
                <w:rFonts w:ascii="Arial" w:eastAsiaTheme="minorEastAsia" w:hAnsi="Arial" w:cs="Arial"/>
                <w:color w:val="000000"/>
                <w:sz w:val="20"/>
                <w:szCs w:val="20"/>
              </w:rPr>
            </w:pPr>
            <w:r>
              <w:rPr>
                <w:rFonts w:ascii="Arial" w:eastAsiaTheme="minorEastAsia" w:hAnsi="Arial" w:cs="Arial"/>
                <w:color w:val="000000"/>
                <w:sz w:val="20"/>
                <w:szCs w:val="20"/>
              </w:rPr>
              <w:t>CHỦ TỊCH</w:t>
            </w:r>
          </w:p>
        </w:tc>
      </w:tr>
      <w:tr w:rsidR="00085E32" w:rsidTr="00085E32">
        <w:trPr>
          <w:trHeight w:val="2517"/>
        </w:trPr>
        <w:tc>
          <w:tcPr>
            <w:tcW w:w="4248" w:type="dxa"/>
            <w:hideMark/>
          </w:tcPr>
          <w:p w:rsidR="00085E32" w:rsidRPr="00085E32" w:rsidRDefault="00085E32">
            <w:pPr>
              <w:ind w:right="-99"/>
              <w:jc w:val="both"/>
              <w:rPr>
                <w:rFonts w:ascii="Arial" w:eastAsia="Times New Roman" w:hAnsi="Arial" w:cs="Arial"/>
                <w:color w:val="000000"/>
                <w:sz w:val="20"/>
                <w:szCs w:val="20"/>
              </w:rPr>
            </w:pPr>
            <w:r w:rsidRPr="00085E32">
              <w:rPr>
                <w:rFonts w:ascii="Arial" w:hAnsi="Arial" w:cs="Arial"/>
                <w:color w:val="000000"/>
                <w:sz w:val="20"/>
                <w:szCs w:val="20"/>
              </w:rPr>
              <w:t>- UBTVQH, Chính phủ;</w:t>
            </w:r>
          </w:p>
          <w:p w:rsidR="00085E32" w:rsidRPr="00085E32" w:rsidRDefault="00085E32">
            <w:pPr>
              <w:ind w:right="23"/>
              <w:jc w:val="both"/>
              <w:rPr>
                <w:rFonts w:ascii="Arial" w:hAnsi="Arial" w:cs="Arial"/>
                <w:color w:val="000000"/>
                <w:sz w:val="20"/>
                <w:szCs w:val="20"/>
              </w:rPr>
            </w:pPr>
            <w:r w:rsidRPr="00085E32">
              <w:rPr>
                <w:rFonts w:ascii="Arial" w:hAnsi="Arial" w:cs="Arial"/>
                <w:color w:val="000000"/>
                <w:sz w:val="20"/>
                <w:szCs w:val="20"/>
              </w:rPr>
              <w:t>- BCĐ TW về phòng, chống tham nhũng;</w:t>
            </w:r>
          </w:p>
          <w:p w:rsidR="00085E32" w:rsidRPr="00085E32" w:rsidRDefault="00085E32">
            <w:pPr>
              <w:ind w:right="23"/>
              <w:jc w:val="both"/>
              <w:rPr>
                <w:rFonts w:ascii="Arial" w:hAnsi="Arial" w:cs="Arial"/>
                <w:b/>
                <w:color w:val="000000"/>
                <w:sz w:val="20"/>
                <w:szCs w:val="20"/>
              </w:rPr>
            </w:pPr>
            <w:r w:rsidRPr="00085E32">
              <w:rPr>
                <w:rFonts w:ascii="Arial" w:hAnsi="Arial" w:cs="Arial"/>
                <w:color w:val="000000"/>
                <w:sz w:val="20"/>
                <w:szCs w:val="20"/>
              </w:rPr>
              <w:t xml:space="preserve">- VPQH, VPCP; </w:t>
            </w:r>
            <w:r>
              <w:rPr>
                <w:rFonts w:ascii="Arial" w:hAnsi="Arial" w:cs="Arial"/>
                <w:color w:val="000000"/>
                <w:sz w:val="20"/>
                <w:szCs w:val="20"/>
              </w:rPr>
              <w:t>Website Chính phủ;</w:t>
            </w:r>
          </w:p>
          <w:p w:rsidR="00085E32" w:rsidRPr="00085E32" w:rsidRDefault="00085E32">
            <w:pPr>
              <w:ind w:right="-446"/>
              <w:jc w:val="both"/>
              <w:rPr>
                <w:rFonts w:ascii="Arial" w:hAnsi="Arial" w:cs="Arial"/>
                <w:color w:val="000000"/>
                <w:sz w:val="20"/>
                <w:szCs w:val="20"/>
              </w:rPr>
            </w:pPr>
            <w:r>
              <w:rPr>
                <w:rFonts w:ascii="Arial" w:hAnsi="Arial" w:cs="Arial"/>
                <w:color w:val="000000"/>
                <w:sz w:val="20"/>
                <w:szCs w:val="20"/>
              </w:rPr>
              <w:t>- Ban Công tác đại biểu;</w:t>
            </w:r>
          </w:p>
          <w:p w:rsidR="00085E32" w:rsidRDefault="00085E32">
            <w:pPr>
              <w:ind w:right="23"/>
              <w:jc w:val="both"/>
              <w:rPr>
                <w:rFonts w:ascii="Arial" w:hAnsi="Arial" w:cs="Arial"/>
                <w:color w:val="000000"/>
                <w:sz w:val="20"/>
                <w:szCs w:val="20"/>
              </w:rPr>
            </w:pPr>
            <w:r>
              <w:rPr>
                <w:rFonts w:ascii="Arial" w:hAnsi="Arial" w:cs="Arial"/>
                <w:color w:val="000000"/>
                <w:sz w:val="20"/>
                <w:szCs w:val="20"/>
              </w:rPr>
              <w:t>- Thanh tra Chính phủ;</w:t>
            </w:r>
          </w:p>
          <w:p w:rsidR="00085E32" w:rsidRDefault="00085E32">
            <w:pPr>
              <w:ind w:right="-446"/>
              <w:jc w:val="both"/>
              <w:rPr>
                <w:rFonts w:ascii="Arial" w:hAnsi="Arial" w:cs="Arial"/>
                <w:color w:val="000000"/>
                <w:sz w:val="20"/>
                <w:szCs w:val="20"/>
              </w:rPr>
            </w:pPr>
            <w:r>
              <w:rPr>
                <w:rFonts w:ascii="Arial" w:hAnsi="Arial" w:cs="Arial"/>
                <w:color w:val="000000"/>
                <w:sz w:val="20"/>
                <w:szCs w:val="20"/>
              </w:rPr>
              <w:t>- Bộ Tư pháp (Cục KTVB);</w:t>
            </w:r>
          </w:p>
          <w:p w:rsidR="00085E32" w:rsidRDefault="00085E32">
            <w:pPr>
              <w:ind w:right="-446"/>
              <w:jc w:val="both"/>
              <w:rPr>
                <w:rFonts w:ascii="Arial" w:hAnsi="Arial" w:cs="Arial"/>
                <w:color w:val="000000"/>
                <w:sz w:val="20"/>
                <w:szCs w:val="20"/>
              </w:rPr>
            </w:pPr>
            <w:r>
              <w:rPr>
                <w:rFonts w:ascii="Arial" w:hAnsi="Arial" w:cs="Arial"/>
                <w:color w:val="000000"/>
                <w:sz w:val="20"/>
                <w:szCs w:val="20"/>
              </w:rPr>
              <w:t>- Đoàn ĐBQH TPCT;</w:t>
            </w:r>
          </w:p>
          <w:p w:rsidR="00085E32" w:rsidRDefault="00085E32">
            <w:pPr>
              <w:ind w:right="-446"/>
              <w:jc w:val="both"/>
              <w:rPr>
                <w:rFonts w:ascii="Arial" w:hAnsi="Arial" w:cs="Arial"/>
                <w:color w:val="000000"/>
                <w:sz w:val="20"/>
                <w:szCs w:val="20"/>
              </w:rPr>
            </w:pPr>
            <w:r>
              <w:rPr>
                <w:rFonts w:ascii="Arial" w:hAnsi="Arial" w:cs="Arial"/>
                <w:color w:val="000000"/>
                <w:sz w:val="20"/>
                <w:szCs w:val="20"/>
              </w:rPr>
              <w:t>- TT.TU, UBND, UBMTTQVNTP;</w:t>
            </w:r>
          </w:p>
          <w:p w:rsidR="00085E32" w:rsidRDefault="00085E32">
            <w:pPr>
              <w:ind w:right="-446"/>
              <w:jc w:val="both"/>
              <w:rPr>
                <w:rFonts w:ascii="Arial" w:hAnsi="Arial" w:cs="Arial"/>
                <w:color w:val="000000"/>
                <w:sz w:val="20"/>
                <w:szCs w:val="20"/>
              </w:rPr>
            </w:pPr>
            <w:r>
              <w:rPr>
                <w:rFonts w:ascii="Arial" w:hAnsi="Arial" w:cs="Arial"/>
                <w:color w:val="000000"/>
                <w:sz w:val="20"/>
                <w:szCs w:val="20"/>
              </w:rPr>
              <w:t>- Đại biểu HĐND TP;</w:t>
            </w:r>
          </w:p>
          <w:p w:rsidR="00085E32" w:rsidRDefault="00085E32">
            <w:pPr>
              <w:ind w:right="-446"/>
              <w:jc w:val="both"/>
              <w:rPr>
                <w:rFonts w:ascii="Arial" w:hAnsi="Arial" w:cs="Arial"/>
                <w:color w:val="000000"/>
                <w:sz w:val="20"/>
                <w:szCs w:val="20"/>
              </w:rPr>
            </w:pPr>
            <w:r>
              <w:rPr>
                <w:rFonts w:ascii="Arial" w:hAnsi="Arial" w:cs="Arial"/>
                <w:color w:val="000000"/>
                <w:sz w:val="20"/>
                <w:szCs w:val="20"/>
              </w:rPr>
              <w:t>- Sở, ban, ngành, đoàn thể TP;</w:t>
            </w:r>
          </w:p>
          <w:p w:rsidR="00085E32" w:rsidRDefault="00085E32">
            <w:pPr>
              <w:ind w:right="-446"/>
              <w:jc w:val="both"/>
              <w:rPr>
                <w:rFonts w:ascii="Arial" w:hAnsi="Arial" w:cs="Arial"/>
                <w:color w:val="000000"/>
                <w:sz w:val="20"/>
                <w:szCs w:val="20"/>
              </w:rPr>
            </w:pPr>
            <w:r>
              <w:rPr>
                <w:rFonts w:ascii="Arial" w:hAnsi="Arial" w:cs="Arial"/>
                <w:color w:val="000000"/>
                <w:sz w:val="20"/>
                <w:szCs w:val="20"/>
              </w:rPr>
              <w:t>- TT. HĐND, UBND quận, huyện;</w:t>
            </w:r>
          </w:p>
          <w:p w:rsidR="00085E32" w:rsidRDefault="00085E32">
            <w:pPr>
              <w:ind w:right="-446"/>
              <w:jc w:val="both"/>
              <w:rPr>
                <w:rFonts w:ascii="Arial" w:hAnsi="Arial" w:cs="Arial"/>
                <w:color w:val="000000"/>
                <w:sz w:val="20"/>
                <w:szCs w:val="20"/>
              </w:rPr>
            </w:pPr>
            <w:r>
              <w:rPr>
                <w:rFonts w:ascii="Arial" w:hAnsi="Arial" w:cs="Arial"/>
                <w:color w:val="000000"/>
                <w:sz w:val="20"/>
                <w:szCs w:val="20"/>
              </w:rPr>
              <w:t>- TT Công báo, Lưu trữ TP;</w:t>
            </w:r>
          </w:p>
          <w:p w:rsidR="00085E32" w:rsidRDefault="00085E32">
            <w:pPr>
              <w:ind w:right="-96"/>
              <w:jc w:val="both"/>
              <w:rPr>
                <w:rFonts w:ascii="Arial" w:hAnsi="Arial" w:cs="Arial"/>
                <w:color w:val="000000"/>
                <w:sz w:val="20"/>
                <w:szCs w:val="20"/>
                <w:lang w:val="fr-FR"/>
              </w:rPr>
            </w:pPr>
            <w:r>
              <w:rPr>
                <w:rFonts w:ascii="Arial" w:hAnsi="Arial" w:cs="Arial"/>
                <w:color w:val="000000"/>
                <w:sz w:val="20"/>
                <w:szCs w:val="20"/>
              </w:rPr>
              <w:t>- Lưu: VP, LT.</w:t>
            </w:r>
          </w:p>
        </w:tc>
        <w:tc>
          <w:tcPr>
            <w:tcW w:w="4805" w:type="dxa"/>
          </w:tcPr>
          <w:p w:rsidR="00085E32" w:rsidRDefault="00085E32">
            <w:pPr>
              <w:ind w:right="-96"/>
              <w:jc w:val="center"/>
              <w:rPr>
                <w:rFonts w:ascii="Arial" w:eastAsia="Times New Roman" w:hAnsi="Arial" w:cs="Arial"/>
                <w:color w:val="000000"/>
                <w:sz w:val="20"/>
                <w:szCs w:val="20"/>
                <w:lang w:val="fr-FR"/>
              </w:rPr>
            </w:pPr>
          </w:p>
          <w:p w:rsidR="00085E32" w:rsidRDefault="00085E32">
            <w:pPr>
              <w:ind w:right="-96"/>
              <w:jc w:val="center"/>
              <w:rPr>
                <w:rFonts w:ascii="Arial" w:hAnsi="Arial" w:cs="Arial"/>
                <w:color w:val="000000"/>
                <w:sz w:val="20"/>
                <w:szCs w:val="20"/>
                <w:lang w:val="fr-FR"/>
              </w:rPr>
            </w:pPr>
          </w:p>
          <w:p w:rsidR="00085E32" w:rsidRDefault="00085E32">
            <w:pPr>
              <w:ind w:right="-96"/>
              <w:jc w:val="center"/>
              <w:rPr>
                <w:rFonts w:ascii="Arial" w:hAnsi="Arial" w:cs="Arial"/>
                <w:color w:val="000000"/>
                <w:sz w:val="20"/>
                <w:szCs w:val="20"/>
                <w:lang w:val="fr-FR"/>
              </w:rPr>
            </w:pPr>
          </w:p>
          <w:p w:rsidR="00085E32" w:rsidRDefault="00085E32">
            <w:pPr>
              <w:ind w:right="-96"/>
              <w:jc w:val="center"/>
              <w:rPr>
                <w:rFonts w:ascii="Arial" w:hAnsi="Arial" w:cs="Arial"/>
                <w:color w:val="000000"/>
                <w:sz w:val="20"/>
                <w:szCs w:val="20"/>
                <w:lang w:val="fr-FR"/>
              </w:rPr>
            </w:pPr>
          </w:p>
          <w:p w:rsidR="00085E32" w:rsidRDefault="00085E32">
            <w:pPr>
              <w:ind w:right="-96"/>
              <w:jc w:val="center"/>
              <w:rPr>
                <w:rFonts w:ascii="Arial" w:hAnsi="Arial" w:cs="Arial"/>
                <w:color w:val="000000"/>
                <w:sz w:val="20"/>
                <w:szCs w:val="20"/>
                <w:lang w:val="fr-FR"/>
              </w:rPr>
            </w:pPr>
          </w:p>
          <w:p w:rsidR="00085E32" w:rsidRDefault="00085E32">
            <w:pPr>
              <w:ind w:right="-96"/>
              <w:jc w:val="center"/>
              <w:rPr>
                <w:rFonts w:ascii="Arial" w:hAnsi="Arial" w:cs="Arial"/>
                <w:color w:val="000000"/>
                <w:sz w:val="20"/>
                <w:szCs w:val="20"/>
                <w:lang w:val="fr-FR"/>
              </w:rPr>
            </w:pPr>
          </w:p>
          <w:p w:rsidR="00085E32" w:rsidRDefault="00085E32">
            <w:pPr>
              <w:ind w:right="-96"/>
              <w:jc w:val="center"/>
              <w:rPr>
                <w:rFonts w:ascii="Arial" w:hAnsi="Arial" w:cs="Arial"/>
                <w:color w:val="000000"/>
                <w:sz w:val="20"/>
                <w:szCs w:val="20"/>
                <w:lang w:val="fr-FR"/>
              </w:rPr>
            </w:pPr>
          </w:p>
          <w:p w:rsidR="00085E32" w:rsidRDefault="00085E32">
            <w:pPr>
              <w:ind w:right="-96"/>
              <w:jc w:val="center"/>
              <w:rPr>
                <w:rFonts w:ascii="Arial" w:hAnsi="Arial" w:cs="Arial"/>
                <w:color w:val="000000"/>
                <w:sz w:val="20"/>
                <w:szCs w:val="20"/>
                <w:lang w:val="fr-FR"/>
              </w:rPr>
            </w:pPr>
          </w:p>
          <w:p w:rsidR="00085E32" w:rsidRDefault="00085E32">
            <w:pPr>
              <w:ind w:right="-96"/>
              <w:jc w:val="center"/>
              <w:rPr>
                <w:rFonts w:ascii="Arial" w:hAnsi="Arial" w:cs="Arial"/>
                <w:color w:val="000000"/>
                <w:sz w:val="20"/>
                <w:szCs w:val="20"/>
                <w:lang w:val="fr-FR"/>
              </w:rPr>
            </w:pPr>
          </w:p>
          <w:p w:rsidR="00085E32" w:rsidRDefault="00085E32">
            <w:pPr>
              <w:ind w:right="-96"/>
              <w:jc w:val="center"/>
              <w:rPr>
                <w:rFonts w:ascii="Arial" w:hAnsi="Arial" w:cs="Arial"/>
                <w:color w:val="000000"/>
                <w:sz w:val="20"/>
                <w:szCs w:val="20"/>
                <w:lang w:val="fr-FR"/>
              </w:rPr>
            </w:pPr>
          </w:p>
          <w:p w:rsidR="00085E32" w:rsidRDefault="00085E32">
            <w:pPr>
              <w:pStyle w:val="Heading1"/>
              <w:spacing w:before="0" w:after="0"/>
              <w:rPr>
                <w:rFonts w:ascii="Arial" w:eastAsiaTheme="minorEastAsia" w:hAnsi="Arial" w:cs="Arial"/>
                <w:color w:val="000000"/>
                <w:sz w:val="20"/>
                <w:szCs w:val="20"/>
              </w:rPr>
            </w:pPr>
            <w:r>
              <w:rPr>
                <w:rFonts w:ascii="Arial" w:eastAsiaTheme="minorEastAsia" w:hAnsi="Arial" w:cs="Arial"/>
                <w:color w:val="000000"/>
                <w:sz w:val="20"/>
                <w:szCs w:val="20"/>
              </w:rPr>
              <w:t>Nguyễn Tấn Quyên</w:t>
            </w:r>
          </w:p>
        </w:tc>
      </w:tr>
    </w:tbl>
    <w:p w:rsidR="00085E32" w:rsidRDefault="00085E32" w:rsidP="00085E32">
      <w:pPr>
        <w:spacing w:before="120"/>
        <w:ind w:right="17"/>
        <w:jc w:val="both"/>
        <w:rPr>
          <w:rFonts w:ascii="Arial" w:hAnsi="Arial" w:cs="Arial"/>
          <w:color w:val="000000"/>
          <w:sz w:val="20"/>
          <w:szCs w:val="20"/>
          <w:vertAlign w:val="subscript"/>
          <w:lang w:val="en-US"/>
        </w:rPr>
      </w:pPr>
      <w:r>
        <w:rPr>
          <w:rFonts w:ascii="Arial" w:hAnsi="Arial" w:cs="Arial"/>
          <w:color w:val="000000"/>
          <w:sz w:val="20"/>
          <w:szCs w:val="20"/>
        </w:rPr>
        <w:t xml:space="preserve">                                 </w:t>
      </w:r>
    </w:p>
    <w:p w:rsidR="00085E32" w:rsidRDefault="00085E32" w:rsidP="00085E32">
      <w:pPr>
        <w:rPr>
          <w:rFonts w:ascii="Arial" w:hAnsi="Arial" w:cs="Arial"/>
          <w:b/>
          <w:color w:val="000000"/>
          <w:sz w:val="20"/>
          <w:szCs w:val="20"/>
        </w:rPr>
      </w:pPr>
      <w:r>
        <w:rPr>
          <w:rFonts w:ascii="Arial" w:hAnsi="Arial" w:cs="Arial"/>
          <w:b/>
          <w:color w:val="000000"/>
          <w:sz w:val="20"/>
          <w:szCs w:val="20"/>
        </w:rPr>
        <w:t xml:space="preserve">                                                                 </w:t>
      </w:r>
    </w:p>
    <w:p w:rsidR="00085E32" w:rsidRDefault="00085E32" w:rsidP="00085E32">
      <w:pPr>
        <w:jc w:val="both"/>
        <w:rPr>
          <w:rFonts w:ascii="Arial" w:hAnsi="Arial" w:cs="Arial"/>
          <w:color w:val="000000"/>
          <w:sz w:val="20"/>
          <w:szCs w:val="20"/>
        </w:rPr>
      </w:pPr>
    </w:p>
    <w:p w:rsidR="001733A6" w:rsidRDefault="001733A6"/>
    <w:sectPr w:rsidR="001733A6" w:rsidSect="007D6235">
      <w:pgSz w:w="11907" w:h="16840" w:code="9"/>
      <w:pgMar w:top="1134" w:right="851" w:bottom="1134" w:left="1985" w:header="357" w:footer="567"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40"/>
  <w:drawingGridVerticalSpacing w:val="381"/>
  <w:displayHorizontalDrawingGridEvery w:val="2"/>
  <w:characterSpacingControl w:val="doNotCompress"/>
  <w:compat/>
  <w:rsids>
    <w:rsidRoot w:val="00085E32"/>
    <w:rsid w:val="00085E32"/>
    <w:rsid w:val="000D209B"/>
    <w:rsid w:val="001733A6"/>
    <w:rsid w:val="002C7E3A"/>
    <w:rsid w:val="003570E8"/>
    <w:rsid w:val="005A78BA"/>
    <w:rsid w:val="007D6235"/>
    <w:rsid w:val="007F39CC"/>
    <w:rsid w:val="00C75E3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3A6"/>
  </w:style>
  <w:style w:type="paragraph" w:styleId="Heading1">
    <w:name w:val="heading 1"/>
    <w:basedOn w:val="Normal"/>
    <w:next w:val="Normal"/>
    <w:link w:val="Heading1Char"/>
    <w:qFormat/>
    <w:rsid w:val="00085E32"/>
    <w:pPr>
      <w:keepNext/>
      <w:spacing w:before="120" w:after="60"/>
      <w:ind w:right="-99"/>
      <w:jc w:val="center"/>
      <w:outlineLvl w:val="0"/>
    </w:pPr>
    <w:rPr>
      <w:rFonts w:eastAsia="Times New Roman" w:cs="Times New Roman"/>
      <w:b/>
      <w:bCs/>
      <w:szCs w:val="28"/>
      <w:lang w:val="fr-FR"/>
    </w:rPr>
  </w:style>
  <w:style w:type="paragraph" w:styleId="Heading2">
    <w:name w:val="heading 2"/>
    <w:basedOn w:val="Normal"/>
    <w:next w:val="Normal"/>
    <w:link w:val="Heading2Char"/>
    <w:unhideWhenUsed/>
    <w:qFormat/>
    <w:rsid w:val="00085E32"/>
    <w:pPr>
      <w:keepNext/>
      <w:spacing w:before="120" w:after="60" w:line="360" w:lineRule="exact"/>
      <w:ind w:right="-96"/>
      <w:jc w:val="center"/>
      <w:outlineLvl w:val="1"/>
    </w:pPr>
    <w:rPr>
      <w:rFonts w:eastAsia="Times New Roman" w:cs="Times New Roman"/>
      <w:b/>
      <w:sz w:val="26"/>
      <w:szCs w:val="28"/>
      <w:lang w:val="fr-FR"/>
    </w:rPr>
  </w:style>
  <w:style w:type="paragraph" w:styleId="Heading5">
    <w:name w:val="heading 5"/>
    <w:basedOn w:val="Normal"/>
    <w:next w:val="Normal"/>
    <w:link w:val="Heading5Char"/>
    <w:unhideWhenUsed/>
    <w:qFormat/>
    <w:rsid w:val="00085E32"/>
    <w:pPr>
      <w:keepNext/>
      <w:jc w:val="center"/>
      <w:outlineLvl w:val="4"/>
    </w:pPr>
    <w:rPr>
      <w:rFonts w:eastAsia="Times New Roman" w:cs="Times New Roman"/>
      <w:b/>
      <w:bCs/>
      <w:sz w:val="24"/>
      <w:szCs w:val="24"/>
      <w:lang w:val="en-US"/>
    </w:rPr>
  </w:style>
  <w:style w:type="paragraph" w:styleId="Heading6">
    <w:name w:val="heading 6"/>
    <w:basedOn w:val="Normal"/>
    <w:next w:val="Normal"/>
    <w:link w:val="Heading6Char"/>
    <w:semiHidden/>
    <w:unhideWhenUsed/>
    <w:qFormat/>
    <w:rsid w:val="00085E32"/>
    <w:pPr>
      <w:keepNext/>
      <w:spacing w:line="360" w:lineRule="exact"/>
      <w:jc w:val="center"/>
      <w:outlineLvl w:val="5"/>
    </w:pPr>
    <w:rPr>
      <w:rFonts w:eastAsia="Times New Roman" w:cs="Times New Roman"/>
      <w:b/>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5E32"/>
    <w:rPr>
      <w:rFonts w:eastAsia="Times New Roman" w:cs="Times New Roman"/>
      <w:b/>
      <w:bCs/>
      <w:szCs w:val="28"/>
      <w:lang w:val="fr-FR"/>
    </w:rPr>
  </w:style>
  <w:style w:type="character" w:customStyle="1" w:styleId="Heading2Char">
    <w:name w:val="Heading 2 Char"/>
    <w:basedOn w:val="DefaultParagraphFont"/>
    <w:link w:val="Heading2"/>
    <w:rsid w:val="00085E32"/>
    <w:rPr>
      <w:rFonts w:eastAsia="Times New Roman" w:cs="Times New Roman"/>
      <w:b/>
      <w:sz w:val="26"/>
      <w:szCs w:val="28"/>
      <w:lang w:val="fr-FR"/>
    </w:rPr>
  </w:style>
  <w:style w:type="character" w:customStyle="1" w:styleId="Heading5Char">
    <w:name w:val="Heading 5 Char"/>
    <w:basedOn w:val="DefaultParagraphFont"/>
    <w:link w:val="Heading5"/>
    <w:rsid w:val="00085E32"/>
    <w:rPr>
      <w:rFonts w:eastAsia="Times New Roman" w:cs="Times New Roman"/>
      <w:b/>
      <w:bCs/>
      <w:sz w:val="24"/>
      <w:szCs w:val="24"/>
      <w:lang w:val="en-US"/>
    </w:rPr>
  </w:style>
  <w:style w:type="character" w:customStyle="1" w:styleId="Heading6Char">
    <w:name w:val="Heading 6 Char"/>
    <w:basedOn w:val="DefaultParagraphFont"/>
    <w:link w:val="Heading6"/>
    <w:semiHidden/>
    <w:rsid w:val="00085E32"/>
    <w:rPr>
      <w:rFonts w:eastAsia="Times New Roman" w:cs="Times New Roman"/>
      <w:b/>
      <w:sz w:val="26"/>
      <w:szCs w:val="20"/>
      <w:lang w:val="en-US"/>
    </w:rPr>
  </w:style>
</w:styles>
</file>

<file path=word/webSettings.xml><?xml version="1.0" encoding="utf-8"?>
<w:webSettings xmlns:r="http://schemas.openxmlformats.org/officeDocument/2006/relationships" xmlns:w="http://schemas.openxmlformats.org/wordprocessingml/2006/main">
  <w:divs>
    <w:div w:id="34171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F9533-6AB8-44E4-BC98-52DFA7210C2C}"/>
</file>

<file path=customXml/itemProps2.xml><?xml version="1.0" encoding="utf-8"?>
<ds:datastoreItem xmlns:ds="http://schemas.openxmlformats.org/officeDocument/2006/customXml" ds:itemID="{ACE3F18E-A901-4E88-A794-EBD918831635}"/>
</file>

<file path=customXml/itemProps3.xml><?xml version="1.0" encoding="utf-8"?>
<ds:datastoreItem xmlns:ds="http://schemas.openxmlformats.org/officeDocument/2006/customXml" ds:itemID="{DB9B3F6F-07AF-48AE-9541-CF650EC6B4DC}"/>
</file>

<file path=docProps/app.xml><?xml version="1.0" encoding="utf-8"?>
<Properties xmlns="http://schemas.openxmlformats.org/officeDocument/2006/extended-properties" xmlns:vt="http://schemas.openxmlformats.org/officeDocument/2006/docPropsVTypes">
  <Template>Normal.dotm</Template>
  <TotalTime>1</TotalTime>
  <Pages>3</Pages>
  <Words>1205</Words>
  <Characters>6872</Characters>
  <Application>Microsoft Office Word</Application>
  <DocSecurity>0</DocSecurity>
  <Lines>57</Lines>
  <Paragraphs>16</Paragraphs>
  <ScaleCrop>false</ScaleCrop>
  <Company/>
  <LinksUpToDate>false</LinksUpToDate>
  <CharactersWithSpaces>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2015-09-30T00:47:00Z</dcterms:created>
  <dcterms:modified xsi:type="dcterms:W3CDTF">2015-09-30T00:48:00Z</dcterms:modified>
</cp:coreProperties>
</file>